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40" w:rsidRDefault="009A3140" w:rsidP="00F216BB">
      <w:pPr>
        <w:spacing w:after="0" w:line="240" w:lineRule="auto"/>
        <w:jc w:val="center"/>
        <w:rPr>
          <w:rFonts w:ascii="Arial" w:hAnsi="Arial" w:cs="Arial"/>
          <w:b/>
          <w:bCs/>
          <w:spacing w:val="-2"/>
          <w:kern w:val="2"/>
        </w:rPr>
      </w:pPr>
    </w:p>
    <w:p w:rsidR="009A3140" w:rsidRDefault="009A3140" w:rsidP="00F216BB">
      <w:pPr>
        <w:spacing w:after="0" w:line="240" w:lineRule="auto"/>
        <w:jc w:val="center"/>
        <w:rPr>
          <w:rFonts w:ascii="Arial" w:hAnsi="Arial" w:cs="Arial"/>
          <w:b/>
          <w:bCs/>
          <w:spacing w:val="-2"/>
          <w:kern w:val="2"/>
        </w:rPr>
      </w:pPr>
    </w:p>
    <w:p w:rsidR="00C56DE1" w:rsidRDefault="00C56DE1" w:rsidP="00F216BB">
      <w:pPr>
        <w:spacing w:after="0" w:line="240" w:lineRule="auto"/>
        <w:jc w:val="center"/>
        <w:rPr>
          <w:rFonts w:ascii="Arial" w:hAnsi="Arial" w:cs="Arial"/>
          <w:b/>
          <w:bCs/>
          <w:spacing w:val="-2"/>
          <w:kern w:val="2"/>
        </w:rPr>
      </w:pPr>
      <w:r w:rsidRPr="00F216BB">
        <w:rPr>
          <w:rFonts w:ascii="Arial" w:hAnsi="Arial" w:cs="Arial"/>
          <w:b/>
          <w:bCs/>
          <w:spacing w:val="-2"/>
          <w:kern w:val="2"/>
        </w:rPr>
        <w:t>Munkaterv – dr. Hetthéssy Judit</w:t>
      </w:r>
    </w:p>
    <w:p w:rsidR="009A3140" w:rsidRPr="00F216BB" w:rsidRDefault="009A3140" w:rsidP="00F216BB">
      <w:pPr>
        <w:spacing w:after="0" w:line="240" w:lineRule="auto"/>
        <w:jc w:val="center"/>
        <w:rPr>
          <w:rFonts w:ascii="Arial" w:hAnsi="Arial" w:cs="Arial"/>
          <w:b/>
          <w:bCs/>
          <w:spacing w:val="-2"/>
          <w:kern w:val="2"/>
        </w:rPr>
      </w:pPr>
    </w:p>
    <w:p w:rsidR="00C60194" w:rsidRPr="00F216BB" w:rsidRDefault="00C60194" w:rsidP="00F216BB">
      <w:pPr>
        <w:spacing w:after="0" w:line="240" w:lineRule="auto"/>
        <w:jc w:val="center"/>
        <w:rPr>
          <w:rFonts w:ascii="Arial" w:hAnsi="Arial" w:cs="Arial"/>
          <w:bCs/>
          <w:spacing w:val="-2"/>
          <w:kern w:val="2"/>
        </w:rPr>
      </w:pPr>
    </w:p>
    <w:p w:rsidR="00C56DE1" w:rsidRDefault="001F3734" w:rsidP="00F216BB">
      <w:pPr>
        <w:spacing w:after="0" w:line="240" w:lineRule="auto"/>
        <w:jc w:val="center"/>
        <w:rPr>
          <w:rFonts w:ascii="Arial" w:hAnsi="Arial" w:cs="Arial"/>
          <w:bCs/>
          <w:i/>
          <w:spacing w:val="-2"/>
          <w:kern w:val="2"/>
        </w:rPr>
      </w:pPr>
      <w:hyperlink r:id="rId5" w:history="1">
        <w:r w:rsidR="00C56DE1" w:rsidRPr="00F216BB">
          <w:rPr>
            <w:rFonts w:ascii="Arial" w:hAnsi="Arial" w:cs="Arial"/>
            <w:bCs/>
            <w:i/>
            <w:spacing w:val="-2"/>
            <w:kern w:val="2"/>
          </w:rPr>
          <w:t>Orthopädische</w:t>
        </w:r>
      </w:hyperlink>
      <w:r w:rsidR="00C56DE1" w:rsidRPr="00F216BB">
        <w:rPr>
          <w:rFonts w:ascii="Arial" w:hAnsi="Arial" w:cs="Arial"/>
          <w:bCs/>
          <w:i/>
          <w:spacing w:val="-2"/>
          <w:kern w:val="2"/>
        </w:rPr>
        <w:t xml:space="preserve"> Klinik Markgröningen, Klinik für Handchirurgie und Plastische Chirurgie</w:t>
      </w:r>
    </w:p>
    <w:p w:rsidR="009A3140" w:rsidRDefault="009A3140" w:rsidP="00F216BB">
      <w:pPr>
        <w:spacing w:after="0" w:line="240" w:lineRule="auto"/>
        <w:jc w:val="center"/>
        <w:rPr>
          <w:rFonts w:ascii="Arial" w:hAnsi="Arial" w:cs="Arial"/>
          <w:bCs/>
          <w:i/>
          <w:spacing w:val="-2"/>
          <w:kern w:val="2"/>
        </w:rPr>
      </w:pPr>
      <w:r>
        <w:rPr>
          <w:rFonts w:ascii="Arial" w:hAnsi="Arial" w:cs="Arial"/>
          <w:bCs/>
          <w:i/>
          <w:spacing w:val="-2"/>
          <w:kern w:val="2"/>
        </w:rPr>
        <w:t>Stuttgart, Németország</w:t>
      </w:r>
    </w:p>
    <w:p w:rsidR="009A3140" w:rsidRDefault="009A3140" w:rsidP="00F216BB">
      <w:pPr>
        <w:spacing w:after="0" w:line="240" w:lineRule="auto"/>
        <w:jc w:val="center"/>
        <w:rPr>
          <w:rFonts w:ascii="Arial" w:hAnsi="Arial" w:cs="Arial"/>
          <w:bCs/>
          <w:i/>
          <w:spacing w:val="-2"/>
          <w:kern w:val="2"/>
        </w:rPr>
      </w:pPr>
    </w:p>
    <w:p w:rsidR="009A3140" w:rsidRPr="00F216BB" w:rsidRDefault="009A3140" w:rsidP="00F216BB">
      <w:pPr>
        <w:spacing w:after="0" w:line="240" w:lineRule="auto"/>
        <w:jc w:val="center"/>
        <w:rPr>
          <w:rFonts w:ascii="Arial" w:hAnsi="Arial" w:cs="Arial"/>
          <w:bCs/>
          <w:i/>
          <w:spacing w:val="-2"/>
          <w:kern w:val="2"/>
        </w:rPr>
      </w:pPr>
    </w:p>
    <w:p w:rsidR="00C60194" w:rsidRPr="00F216BB" w:rsidRDefault="00C60194" w:rsidP="00C60194">
      <w:pPr>
        <w:spacing w:after="0" w:line="240" w:lineRule="auto"/>
        <w:rPr>
          <w:rFonts w:ascii="Arial" w:hAnsi="Arial" w:cs="Arial"/>
          <w:bCs/>
          <w:i/>
          <w:spacing w:val="-2"/>
          <w:kern w:val="2"/>
        </w:rPr>
      </w:pPr>
    </w:p>
    <w:p w:rsidR="00C60194" w:rsidRPr="00F216BB" w:rsidRDefault="00C56DE1" w:rsidP="00C60194">
      <w:pPr>
        <w:spacing w:after="0" w:line="240" w:lineRule="auto"/>
        <w:rPr>
          <w:rFonts w:ascii="Arial" w:hAnsi="Arial" w:cs="Arial"/>
          <w:bCs/>
          <w:spacing w:val="-2"/>
          <w:kern w:val="2"/>
          <w:u w:val="single"/>
        </w:rPr>
      </w:pPr>
      <w:r w:rsidRPr="00F216BB">
        <w:rPr>
          <w:rFonts w:ascii="Arial" w:hAnsi="Arial" w:cs="Arial"/>
          <w:bCs/>
          <w:spacing w:val="-2"/>
          <w:kern w:val="2"/>
          <w:u w:val="single"/>
        </w:rPr>
        <w:t>Megismerendő/</w:t>
      </w:r>
      <w:r w:rsidR="00F216BB">
        <w:rPr>
          <w:rFonts w:ascii="Arial" w:hAnsi="Arial" w:cs="Arial"/>
          <w:bCs/>
          <w:spacing w:val="-2"/>
          <w:kern w:val="2"/>
          <w:u w:val="single"/>
        </w:rPr>
        <w:t>e</w:t>
      </w:r>
      <w:r w:rsidRPr="00F216BB">
        <w:rPr>
          <w:rFonts w:ascii="Arial" w:hAnsi="Arial" w:cs="Arial"/>
          <w:bCs/>
          <w:spacing w:val="-2"/>
          <w:kern w:val="2"/>
          <w:u w:val="single"/>
        </w:rPr>
        <w:t>lsajátítanó technkikák</w:t>
      </w:r>
      <w:r w:rsidR="00C60194" w:rsidRPr="00F216BB">
        <w:rPr>
          <w:rFonts w:ascii="Arial" w:hAnsi="Arial" w:cs="Arial"/>
          <w:bCs/>
          <w:spacing w:val="-2"/>
          <w:kern w:val="2"/>
          <w:u w:val="single"/>
        </w:rPr>
        <w:t xml:space="preserve">: </w:t>
      </w:r>
    </w:p>
    <w:p w:rsidR="00C56DE1" w:rsidRPr="009A3140" w:rsidRDefault="00C60194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az akut és krónikus TFCC sérülésk diagnosztikája (klinikum, MRI), és arthros</w:t>
      </w:r>
      <w:r w:rsidR="004B158F" w:rsidRPr="009A3140">
        <w:rPr>
          <w:rFonts w:ascii="Arial" w:hAnsi="Arial" w:cs="Arial"/>
          <w:bCs/>
          <w:spacing w:val="-2"/>
          <w:kern w:val="2"/>
        </w:rPr>
        <w:t>zkó</w:t>
      </w:r>
      <w:r w:rsidRPr="009A3140">
        <w:rPr>
          <w:rFonts w:ascii="Arial" w:hAnsi="Arial" w:cs="Arial"/>
          <w:bCs/>
          <w:spacing w:val="-2"/>
          <w:kern w:val="2"/>
        </w:rPr>
        <w:t>pos ellátása</w:t>
      </w:r>
    </w:p>
    <w:p w:rsidR="00C60194" w:rsidRPr="009A3140" w:rsidRDefault="00C60194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a carpalis csontok akut és krónikus sérüléseinek, degeneratív betegségeinek betegségeinek</w:t>
      </w:r>
    </w:p>
    <w:p w:rsidR="00C60194" w:rsidRPr="009A3140" w:rsidRDefault="009273A2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arthroszkópos</w:t>
      </w:r>
      <w:r w:rsidR="00C60194" w:rsidRPr="009A3140">
        <w:rPr>
          <w:rFonts w:ascii="Arial" w:hAnsi="Arial" w:cs="Arial"/>
          <w:bCs/>
          <w:spacing w:val="-2"/>
          <w:kern w:val="2"/>
        </w:rPr>
        <w:t xml:space="preserve"> ellátása</w:t>
      </w:r>
    </w:p>
    <w:p w:rsidR="00C60194" w:rsidRPr="009A3140" w:rsidRDefault="00C60194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DRU ízület akut és krónikus sérüléseinak </w:t>
      </w:r>
      <w:r w:rsidR="009273A2" w:rsidRPr="009A3140">
        <w:rPr>
          <w:rFonts w:ascii="Arial" w:hAnsi="Arial" w:cs="Arial"/>
          <w:bCs/>
          <w:spacing w:val="-2"/>
          <w:kern w:val="2"/>
        </w:rPr>
        <w:t>arthroszkópos</w:t>
      </w:r>
      <w:r w:rsidRPr="009A3140">
        <w:rPr>
          <w:rFonts w:ascii="Arial" w:hAnsi="Arial" w:cs="Arial"/>
          <w:bCs/>
          <w:spacing w:val="-2"/>
          <w:kern w:val="2"/>
        </w:rPr>
        <w:t xml:space="preserve"> ellátása</w:t>
      </w:r>
    </w:p>
    <w:p w:rsidR="00C60194" w:rsidRPr="009A3140" w:rsidRDefault="00C60194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ganglionok </w:t>
      </w:r>
      <w:r w:rsidR="009273A2" w:rsidRPr="009A3140">
        <w:rPr>
          <w:rFonts w:ascii="Arial" w:hAnsi="Arial" w:cs="Arial"/>
          <w:bCs/>
          <w:spacing w:val="-2"/>
          <w:kern w:val="2"/>
        </w:rPr>
        <w:t>arthroszkópos</w:t>
      </w:r>
      <w:r w:rsidRPr="009A3140">
        <w:rPr>
          <w:rFonts w:ascii="Arial" w:hAnsi="Arial" w:cs="Arial"/>
          <w:bCs/>
          <w:spacing w:val="-2"/>
          <w:kern w:val="2"/>
        </w:rPr>
        <w:t xml:space="preserve"> ellátása</w:t>
      </w:r>
    </w:p>
    <w:p w:rsidR="00C60194" w:rsidRPr="009A3140" w:rsidRDefault="00C60194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I-es CMC arthrosis I-II stádiumának </w:t>
      </w:r>
      <w:r w:rsidR="009273A2" w:rsidRPr="009A3140">
        <w:rPr>
          <w:rFonts w:ascii="Arial" w:hAnsi="Arial" w:cs="Arial"/>
          <w:bCs/>
          <w:spacing w:val="-2"/>
          <w:kern w:val="2"/>
        </w:rPr>
        <w:t xml:space="preserve">arthroszkópos </w:t>
      </w:r>
      <w:r w:rsidRPr="009A3140">
        <w:rPr>
          <w:rFonts w:ascii="Arial" w:hAnsi="Arial" w:cs="Arial"/>
          <w:bCs/>
          <w:spacing w:val="-2"/>
          <w:kern w:val="2"/>
        </w:rPr>
        <w:t>ellátása</w:t>
      </w:r>
    </w:p>
    <w:p w:rsidR="00C60194" w:rsidRDefault="009A3140" w:rsidP="009A31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>
        <w:rPr>
          <w:rFonts w:ascii="Arial" w:hAnsi="Arial" w:cs="Arial"/>
          <w:bCs/>
          <w:spacing w:val="-2"/>
          <w:kern w:val="2"/>
        </w:rPr>
        <w:t>alagútszindrómák arthroszkópos ellátása</w:t>
      </w:r>
    </w:p>
    <w:p w:rsidR="009A3140" w:rsidRDefault="009A3140" w:rsidP="009A3140">
      <w:pPr>
        <w:pStyle w:val="ListParagraph"/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C56DE1" w:rsidRPr="00F216BB" w:rsidRDefault="00C56DE1" w:rsidP="00C60194">
      <w:pPr>
        <w:spacing w:after="0" w:line="240" w:lineRule="auto"/>
        <w:rPr>
          <w:rFonts w:ascii="Arial" w:hAnsi="Arial" w:cs="Arial"/>
          <w:bCs/>
          <w:spacing w:val="-2"/>
          <w:kern w:val="2"/>
          <w:u w:val="single"/>
        </w:rPr>
      </w:pPr>
      <w:r w:rsidRPr="00F216BB">
        <w:rPr>
          <w:rFonts w:ascii="Arial" w:hAnsi="Arial" w:cs="Arial"/>
          <w:bCs/>
          <w:spacing w:val="-2"/>
          <w:kern w:val="2"/>
          <w:u w:val="single"/>
        </w:rPr>
        <w:t>Megismerendő implantátumok</w:t>
      </w:r>
      <w:r w:rsidR="00C60194" w:rsidRPr="00F216BB">
        <w:rPr>
          <w:rFonts w:ascii="Arial" w:hAnsi="Arial" w:cs="Arial"/>
          <w:bCs/>
          <w:spacing w:val="-2"/>
          <w:kern w:val="2"/>
          <w:u w:val="single"/>
        </w:rPr>
        <w:t>/eszközök</w:t>
      </w:r>
      <w:r w:rsidR="00F216BB">
        <w:rPr>
          <w:rFonts w:ascii="Arial" w:hAnsi="Arial" w:cs="Arial"/>
          <w:bCs/>
          <w:spacing w:val="-2"/>
          <w:kern w:val="2"/>
          <w:u w:val="single"/>
        </w:rPr>
        <w:t>:</w:t>
      </w:r>
    </w:p>
    <w:p w:rsidR="00C60194" w:rsidRPr="009A3140" w:rsidRDefault="00C60194" w:rsidP="009A31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modern kisízületi protézisek – a Swanson protézisek alternatívái</w:t>
      </w:r>
    </w:p>
    <w:p w:rsidR="00C60194" w:rsidRPr="009A3140" w:rsidRDefault="00C60194" w:rsidP="009A31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a carpalis csontos részarthrodesiséhez használt modern implantátumai – a tűződrótok</w:t>
      </w:r>
    </w:p>
    <w:p w:rsidR="00C60194" w:rsidRPr="009A3140" w:rsidRDefault="00C60194" w:rsidP="009A31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alternatívái </w:t>
      </w:r>
    </w:p>
    <w:p w:rsidR="00C60194" w:rsidRPr="009A3140" w:rsidRDefault="00C60194" w:rsidP="009A31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modern rögzítőeszközök, sínek, melyek a minimális rögzítést, illetve a korai mobilizációt segítik</w:t>
      </w:r>
    </w:p>
    <w:p w:rsidR="00F216BB" w:rsidRPr="009A3140" w:rsidRDefault="00F216BB" w:rsidP="009A31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>könyök és csuklóízületi protézisek</w:t>
      </w:r>
    </w:p>
    <w:p w:rsidR="00C60194" w:rsidRDefault="00C60194" w:rsidP="00C60194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>
        <w:rPr>
          <w:rFonts w:ascii="Arial" w:hAnsi="Arial" w:cs="Arial"/>
          <w:bCs/>
          <w:spacing w:val="-2"/>
          <w:kern w:val="2"/>
        </w:rPr>
        <w:tab/>
      </w:r>
    </w:p>
    <w:p w:rsidR="00C60194" w:rsidRPr="00F216BB" w:rsidRDefault="00C56DE1" w:rsidP="00C60194">
      <w:pPr>
        <w:spacing w:after="0" w:line="240" w:lineRule="auto"/>
        <w:rPr>
          <w:rFonts w:ascii="Arial" w:hAnsi="Arial" w:cs="Arial"/>
          <w:bCs/>
          <w:spacing w:val="-2"/>
          <w:kern w:val="2"/>
          <w:u w:val="single"/>
        </w:rPr>
      </w:pPr>
      <w:r w:rsidRPr="00F216BB">
        <w:rPr>
          <w:rFonts w:ascii="Arial" w:hAnsi="Arial" w:cs="Arial"/>
          <w:bCs/>
          <w:spacing w:val="-2"/>
          <w:kern w:val="2"/>
          <w:u w:val="single"/>
        </w:rPr>
        <w:t>Elsajátítandó módszerek</w:t>
      </w:r>
      <w:r w:rsidR="00F216BB">
        <w:rPr>
          <w:rFonts w:ascii="Arial" w:hAnsi="Arial" w:cs="Arial"/>
          <w:bCs/>
          <w:spacing w:val="-2"/>
          <w:kern w:val="2"/>
          <w:u w:val="single"/>
        </w:rPr>
        <w:t>:</w:t>
      </w:r>
      <w:r w:rsidR="00C60194" w:rsidRPr="00F216BB">
        <w:rPr>
          <w:rFonts w:ascii="Arial" w:hAnsi="Arial" w:cs="Arial"/>
          <w:bCs/>
          <w:spacing w:val="-2"/>
          <w:kern w:val="2"/>
          <w:u w:val="single"/>
        </w:rPr>
        <w:t xml:space="preserve"> </w:t>
      </w:r>
    </w:p>
    <w:p w:rsidR="00C60194" w:rsidRPr="009A3140" w:rsidRDefault="00C60194" w:rsidP="009A31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akut hajlítóín sérülések ellátása mely lehetővé teszi a sérült ujj korai post-operatív mozgatását </w:t>
      </w:r>
    </w:p>
    <w:p w:rsidR="00C60194" w:rsidRPr="009A3140" w:rsidRDefault="00C60194" w:rsidP="009A31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9A3140">
        <w:rPr>
          <w:rFonts w:ascii="Arial" w:hAnsi="Arial" w:cs="Arial"/>
          <w:bCs/>
          <w:spacing w:val="-2"/>
          <w:kern w:val="2"/>
        </w:rPr>
        <w:t xml:space="preserve">akut hajlítóín sérült ujj korai post-operatív mozgatásának lehetséges </w:t>
      </w:r>
      <w:r w:rsidR="00721A29" w:rsidRPr="009A3140">
        <w:rPr>
          <w:rFonts w:ascii="Arial" w:hAnsi="Arial" w:cs="Arial"/>
          <w:bCs/>
          <w:spacing w:val="-2"/>
          <w:kern w:val="2"/>
        </w:rPr>
        <w:t>protokolljai</w:t>
      </w:r>
    </w:p>
    <w:p w:rsidR="004B158F" w:rsidRDefault="004B158F" w:rsidP="00C60194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4B158F" w:rsidRPr="00F216BB" w:rsidRDefault="00F216BB" w:rsidP="00D90AF2">
      <w:pPr>
        <w:spacing w:after="0" w:line="240" w:lineRule="auto"/>
        <w:jc w:val="both"/>
        <w:rPr>
          <w:rFonts w:ascii="Arial" w:hAnsi="Arial" w:cs="Arial"/>
          <w:bCs/>
          <w:spacing w:val="-2"/>
          <w:kern w:val="2"/>
        </w:rPr>
      </w:pPr>
      <w:r w:rsidRPr="00F216BB">
        <w:rPr>
          <w:rFonts w:ascii="Arial" w:hAnsi="Arial" w:cs="Arial"/>
          <w:bCs/>
          <w:spacing w:val="-2"/>
          <w:kern w:val="2"/>
        </w:rPr>
        <w:t>Amint a fogadóhely jellemzéséből is kiderül (lsd megfelelő dokumentum), a markgrönningeni Ortopéd Klinika Kéz- és Plasztikai Sebészeti Osztálya kiváló lehetőséget biztosít a fentiek elsajátítására, melyet a tevezett 12 hét alatt az alábbi időbeosztásban tervezek elsajátítani.</w:t>
      </w:r>
    </w:p>
    <w:p w:rsidR="004B158F" w:rsidRPr="00F216BB" w:rsidRDefault="004B158F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F216BB">
        <w:rPr>
          <w:rFonts w:ascii="Arial" w:hAnsi="Arial" w:cs="Arial"/>
          <w:bCs/>
          <w:spacing w:val="-2"/>
          <w:kern w:val="2"/>
        </w:rPr>
        <w:t xml:space="preserve">      -  50% </w:t>
      </w:r>
      <w:r w:rsidR="00F216BB" w:rsidRPr="00F216BB">
        <w:rPr>
          <w:rFonts w:ascii="Arial" w:hAnsi="Arial" w:cs="Arial"/>
          <w:bCs/>
          <w:spacing w:val="-2"/>
          <w:kern w:val="2"/>
        </w:rPr>
        <w:t>részvétel a napi elektív műtéti programban</w:t>
      </w:r>
    </w:p>
    <w:p w:rsidR="004B158F" w:rsidRPr="00F216BB" w:rsidRDefault="004B158F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F216BB">
        <w:rPr>
          <w:rFonts w:ascii="Arial" w:hAnsi="Arial" w:cs="Arial"/>
          <w:bCs/>
          <w:spacing w:val="-2"/>
          <w:kern w:val="2"/>
        </w:rPr>
        <w:t xml:space="preserve">      -  30% </w:t>
      </w:r>
      <w:r w:rsidR="00F216BB" w:rsidRPr="00F216BB">
        <w:rPr>
          <w:rFonts w:ascii="Arial" w:hAnsi="Arial" w:cs="Arial"/>
          <w:bCs/>
          <w:spacing w:val="-2"/>
          <w:kern w:val="2"/>
        </w:rPr>
        <w:t>részvétel a szakrendeléseken, kontrollrendeléseken</w:t>
      </w:r>
    </w:p>
    <w:p w:rsidR="004B158F" w:rsidRPr="00F216BB" w:rsidRDefault="004B158F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F216BB">
        <w:rPr>
          <w:rFonts w:ascii="Arial" w:hAnsi="Arial" w:cs="Arial"/>
          <w:bCs/>
          <w:spacing w:val="-2"/>
          <w:kern w:val="2"/>
        </w:rPr>
        <w:t xml:space="preserve">      -  20% </w:t>
      </w:r>
      <w:r w:rsidR="00F216BB" w:rsidRPr="00F216BB">
        <w:rPr>
          <w:rFonts w:ascii="Arial" w:hAnsi="Arial" w:cs="Arial"/>
          <w:bCs/>
          <w:spacing w:val="-2"/>
          <w:kern w:val="2"/>
        </w:rPr>
        <w:t>részvétel az akut ügyeleti ellátásben</w:t>
      </w:r>
    </w:p>
    <w:p w:rsidR="004B158F" w:rsidRDefault="004B158F" w:rsidP="00C60194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C56DE1" w:rsidRPr="00F216BB" w:rsidRDefault="00C56DE1" w:rsidP="00C56DE1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721A29" w:rsidRPr="00F216BB" w:rsidRDefault="00721A29" w:rsidP="00C56DE1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 w:rsidRPr="00F216BB">
        <w:rPr>
          <w:rFonts w:ascii="Arial" w:hAnsi="Arial" w:cs="Arial"/>
          <w:bCs/>
          <w:spacing w:val="-2"/>
          <w:kern w:val="2"/>
        </w:rPr>
        <w:t>2013. augusztus 6.</w:t>
      </w:r>
    </w:p>
    <w:p w:rsidR="00721A29" w:rsidRDefault="00721A29" w:rsidP="00C56DE1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D90AF2" w:rsidRPr="00C56DE1" w:rsidRDefault="00D90AF2" w:rsidP="00C56DE1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331B69" w:rsidRPr="00721A29" w:rsidRDefault="00C60194" w:rsidP="00D90AF2">
      <w:pPr>
        <w:spacing w:after="0" w:line="240" w:lineRule="auto"/>
        <w:ind w:left="2832" w:firstLine="708"/>
        <w:rPr>
          <w:rFonts w:ascii="Arial" w:hAnsi="Arial" w:cs="Arial"/>
          <w:bCs/>
          <w:spacing w:val="-2"/>
          <w:kern w:val="2"/>
        </w:rPr>
      </w:pPr>
      <w:r w:rsidRPr="00721A29">
        <w:rPr>
          <w:rFonts w:ascii="Arial" w:hAnsi="Arial" w:cs="Arial"/>
          <w:bCs/>
          <w:spacing w:val="-2"/>
          <w:kern w:val="2"/>
        </w:rPr>
        <w:t>A fenti munkatervet jóváhagyom,</w:t>
      </w:r>
    </w:p>
    <w:p w:rsidR="00F216BB" w:rsidRDefault="00F216BB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F216BB" w:rsidRDefault="00F216BB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F216BB" w:rsidRDefault="00F216BB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F216BB" w:rsidRDefault="00F216BB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A97A26" w:rsidRDefault="00A97A26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</w:p>
    <w:p w:rsidR="00F216BB" w:rsidRPr="00721A29" w:rsidRDefault="00F216BB" w:rsidP="00F216BB">
      <w:pPr>
        <w:spacing w:after="0" w:line="240" w:lineRule="auto"/>
        <w:rPr>
          <w:rFonts w:ascii="Arial" w:hAnsi="Arial" w:cs="Arial"/>
          <w:bCs/>
          <w:spacing w:val="-2"/>
          <w:kern w:val="2"/>
        </w:rPr>
      </w:pPr>
      <w:r>
        <w:rPr>
          <w:rFonts w:ascii="Arial" w:hAnsi="Arial" w:cs="Arial"/>
          <w:bCs/>
          <w:spacing w:val="-2"/>
          <w:kern w:val="2"/>
        </w:rPr>
        <w:tab/>
      </w:r>
      <w:r>
        <w:rPr>
          <w:rFonts w:ascii="Arial" w:hAnsi="Arial" w:cs="Arial"/>
          <w:bCs/>
          <w:spacing w:val="-2"/>
          <w:kern w:val="2"/>
        </w:rPr>
        <w:tab/>
      </w:r>
      <w:r>
        <w:rPr>
          <w:rFonts w:ascii="Arial" w:hAnsi="Arial" w:cs="Arial"/>
          <w:bCs/>
          <w:spacing w:val="-2"/>
          <w:kern w:val="2"/>
        </w:rPr>
        <w:tab/>
      </w:r>
      <w:r>
        <w:rPr>
          <w:rFonts w:ascii="Arial" w:hAnsi="Arial" w:cs="Arial"/>
          <w:bCs/>
          <w:spacing w:val="-2"/>
          <w:kern w:val="2"/>
        </w:rPr>
        <w:tab/>
      </w:r>
    </w:p>
    <w:p w:rsidR="00C60194" w:rsidRPr="00721A29" w:rsidRDefault="00C60194" w:rsidP="00F216BB">
      <w:pPr>
        <w:spacing w:after="0" w:line="240" w:lineRule="auto"/>
        <w:ind w:left="6372"/>
        <w:rPr>
          <w:rFonts w:ascii="Arial" w:hAnsi="Arial" w:cs="Arial"/>
          <w:bCs/>
          <w:spacing w:val="-2"/>
          <w:kern w:val="2"/>
        </w:rPr>
      </w:pPr>
      <w:r w:rsidRPr="00721A29">
        <w:rPr>
          <w:rFonts w:ascii="Arial" w:hAnsi="Arial" w:cs="Arial"/>
          <w:bCs/>
          <w:spacing w:val="-2"/>
          <w:kern w:val="2"/>
        </w:rPr>
        <w:t>dr. Mády Ferenc PhD</w:t>
      </w:r>
    </w:p>
    <w:p w:rsidR="00C60194" w:rsidRPr="00721A29" w:rsidRDefault="00C60194" w:rsidP="00F216BB">
      <w:pPr>
        <w:spacing w:after="0" w:line="240" w:lineRule="auto"/>
        <w:ind w:left="5664" w:firstLine="708"/>
        <w:rPr>
          <w:rFonts w:ascii="Arial" w:hAnsi="Arial" w:cs="Arial"/>
          <w:bCs/>
          <w:spacing w:val="-2"/>
          <w:kern w:val="2"/>
        </w:rPr>
      </w:pPr>
      <w:r w:rsidRPr="00721A29">
        <w:rPr>
          <w:rFonts w:ascii="Arial" w:hAnsi="Arial" w:cs="Arial"/>
          <w:bCs/>
          <w:spacing w:val="-2"/>
          <w:kern w:val="2"/>
        </w:rPr>
        <w:t>ny. egyetemi docens</w:t>
      </w:r>
    </w:p>
    <w:sectPr w:rsidR="00C60194" w:rsidRPr="00721A29" w:rsidSect="0033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57C0"/>
    <w:multiLevelType w:val="hybridMultilevel"/>
    <w:tmpl w:val="40BE3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27576"/>
    <w:multiLevelType w:val="hybridMultilevel"/>
    <w:tmpl w:val="242AA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61B12"/>
    <w:multiLevelType w:val="hybridMultilevel"/>
    <w:tmpl w:val="95625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compat>
    <w:applyBreakingRules/>
  </w:compat>
  <w:rsids>
    <w:rsidRoot w:val="00C56DE1"/>
    <w:rsid w:val="001F3734"/>
    <w:rsid w:val="00331B69"/>
    <w:rsid w:val="004B158F"/>
    <w:rsid w:val="00721A29"/>
    <w:rsid w:val="009273A2"/>
    <w:rsid w:val="009A3140"/>
    <w:rsid w:val="00A97A26"/>
    <w:rsid w:val="00B37CEC"/>
    <w:rsid w:val="00C56DE1"/>
    <w:rsid w:val="00C60194"/>
    <w:rsid w:val="00D90AF2"/>
    <w:rsid w:val="00E37F94"/>
    <w:rsid w:val="00F2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u-H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m.de/neu/index.php?option=com_content&amp;view=article&amp;id=552:orthopaedische-klinik-markgroeningen-erzielt-bestnoten&amp;catid=42:presse&amp;Itemid=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Hetthéssy Judit</dc:creator>
  <cp:lastModifiedBy>Laci</cp:lastModifiedBy>
  <cp:revision>2</cp:revision>
  <dcterms:created xsi:type="dcterms:W3CDTF">2013-09-15T17:25:00Z</dcterms:created>
  <dcterms:modified xsi:type="dcterms:W3CDTF">2013-09-15T17:25:00Z</dcterms:modified>
</cp:coreProperties>
</file>